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419"/>
        <w:gridCol w:w="8363"/>
      </w:tblGrid>
      <w:tr w:rsidR="00CD5661" w:rsidRPr="00854518" w14:paraId="3FA04590" w14:textId="77777777" w:rsidTr="00B947F5">
        <w:trPr>
          <w:trHeight w:val="2410"/>
        </w:trPr>
        <w:tc>
          <w:tcPr>
            <w:tcW w:w="1419" w:type="dxa"/>
            <w:shd w:val="clear" w:color="auto" w:fill="auto"/>
            <w:vAlign w:val="center"/>
          </w:tcPr>
          <w:p w14:paraId="45B9EE52" w14:textId="77777777" w:rsidR="00CD5661" w:rsidRPr="00854518" w:rsidRDefault="00CD5661" w:rsidP="006E77BD">
            <w:pPr>
              <w:jc w:val="center"/>
              <w:rPr>
                <w:b/>
                <w:color w:val="000000"/>
                <w:szCs w:val="28"/>
              </w:rPr>
            </w:pPr>
            <w:r w:rsidRPr="00854518">
              <w:rPr>
                <w:noProof/>
                <w:color w:val="000000"/>
                <w:szCs w:val="28"/>
              </w:rPr>
              <w:drawing>
                <wp:inline distT="0" distB="0" distL="0" distR="0" wp14:anchorId="11D78885" wp14:editId="494C7A2F">
                  <wp:extent cx="753979" cy="1043176"/>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57" cy="1046050"/>
                          </a:xfrm>
                          <a:prstGeom prst="rect">
                            <a:avLst/>
                          </a:prstGeom>
                          <a:noFill/>
                          <a:ln>
                            <a:noFill/>
                          </a:ln>
                        </pic:spPr>
                      </pic:pic>
                    </a:graphicData>
                  </a:graphic>
                </wp:inline>
              </w:drawing>
            </w:r>
          </w:p>
        </w:tc>
        <w:tc>
          <w:tcPr>
            <w:tcW w:w="8363" w:type="dxa"/>
            <w:shd w:val="clear" w:color="auto" w:fill="auto"/>
          </w:tcPr>
          <w:p w14:paraId="08F8906A" w14:textId="77777777" w:rsidR="00CD5661" w:rsidRPr="00AD1CC8" w:rsidRDefault="00CD5661" w:rsidP="006E77BD">
            <w:pPr>
              <w:spacing w:after="120"/>
              <w:ind w:left="-23"/>
              <w:jc w:val="center"/>
              <w:rPr>
                <w:rFonts w:ascii="Arial" w:hAnsi="Arial" w:cs="Arial"/>
                <w:b/>
                <w:color w:val="000099"/>
                <w:szCs w:val="28"/>
              </w:rPr>
            </w:pPr>
            <w:r w:rsidRPr="00AD1CC8">
              <w:rPr>
                <w:rFonts w:ascii="Arial" w:hAnsi="Arial" w:cs="Arial"/>
                <w:b/>
                <w:color w:val="000099"/>
                <w:szCs w:val="28"/>
              </w:rPr>
              <w:t>TẬP ĐOÀN ĐIỆN LỰC VIỆT NAM</w:t>
            </w:r>
          </w:p>
          <w:p w14:paraId="42C8F711" w14:textId="77777777" w:rsidR="00CD5661" w:rsidRPr="00854518" w:rsidRDefault="00CD5661" w:rsidP="006E77BD">
            <w:pPr>
              <w:tabs>
                <w:tab w:val="left" w:pos="476"/>
              </w:tabs>
              <w:spacing w:after="120"/>
              <w:jc w:val="center"/>
              <w:rPr>
                <w:b/>
                <w:bCs/>
                <w:color w:val="000000"/>
                <w:szCs w:val="28"/>
              </w:rPr>
            </w:pPr>
            <w:r w:rsidRPr="00854518">
              <w:rPr>
                <w:b/>
                <w:bCs/>
                <w:color w:val="000000"/>
                <w:szCs w:val="28"/>
              </w:rPr>
              <w:t>THÔNG TIN BÁO CHÍ</w:t>
            </w:r>
          </w:p>
          <w:p w14:paraId="1FF0DFE6" w14:textId="55509A94" w:rsidR="00B947F5" w:rsidRDefault="00B947F5" w:rsidP="00B947F5">
            <w:pPr>
              <w:spacing w:after="120" w:line="240" w:lineRule="auto"/>
              <w:jc w:val="center"/>
              <w:rPr>
                <w:b/>
                <w:bCs/>
                <w:lang w:val="vi-VN"/>
              </w:rPr>
            </w:pPr>
            <w:r>
              <w:rPr>
                <w:b/>
                <w:bCs/>
                <w:lang w:val="vi-VN"/>
              </w:rPr>
              <w:t xml:space="preserve">EVN ĐÃ </w:t>
            </w:r>
            <w:r w:rsidR="000F25D0">
              <w:rPr>
                <w:b/>
                <w:bCs/>
                <w:lang w:val="vi-VN"/>
              </w:rPr>
              <w:t>HOÀN THÀNH</w:t>
            </w:r>
            <w:r>
              <w:rPr>
                <w:b/>
                <w:bCs/>
                <w:lang w:val="vi-VN"/>
              </w:rPr>
              <w:t xml:space="preserve"> TỐT </w:t>
            </w:r>
            <w:r w:rsidR="00356545">
              <w:rPr>
                <w:b/>
                <w:bCs/>
                <w:lang w:val="en-US"/>
              </w:rPr>
              <w:t xml:space="preserve">VIỆC </w:t>
            </w:r>
            <w:r w:rsidR="006459EE">
              <w:rPr>
                <w:b/>
                <w:bCs/>
                <w:lang w:val="vi-VN"/>
              </w:rPr>
              <w:t>CẤP</w:t>
            </w:r>
            <w:r w:rsidR="00356545">
              <w:rPr>
                <w:b/>
                <w:bCs/>
                <w:lang w:val="en-US"/>
              </w:rPr>
              <w:t xml:space="preserve"> NƯỚC</w:t>
            </w:r>
            <w:r>
              <w:rPr>
                <w:b/>
                <w:bCs/>
                <w:lang w:val="vi-VN"/>
              </w:rPr>
              <w:t xml:space="preserve"> TỪ CÁC HỒ </w:t>
            </w:r>
          </w:p>
          <w:p w14:paraId="44FE7E75" w14:textId="77777777" w:rsidR="00B947F5" w:rsidRDefault="00B947F5" w:rsidP="00B947F5">
            <w:pPr>
              <w:spacing w:after="120" w:line="240" w:lineRule="auto"/>
              <w:jc w:val="center"/>
              <w:rPr>
                <w:b/>
                <w:bCs/>
                <w:lang w:val="en-US"/>
              </w:rPr>
            </w:pPr>
            <w:r>
              <w:rPr>
                <w:b/>
                <w:bCs/>
                <w:lang w:val="vi-VN"/>
              </w:rPr>
              <w:t>THỦY ĐIỆN</w:t>
            </w:r>
            <w:r w:rsidR="003D5C4C">
              <w:rPr>
                <w:b/>
                <w:bCs/>
                <w:lang w:val="en-US"/>
              </w:rPr>
              <w:t xml:space="preserve"> </w:t>
            </w:r>
            <w:r w:rsidR="00E55576">
              <w:rPr>
                <w:b/>
                <w:bCs/>
                <w:lang w:val="en-US"/>
              </w:rPr>
              <w:t>P</w:t>
            </w:r>
            <w:r w:rsidR="003D5C4C">
              <w:rPr>
                <w:b/>
                <w:bCs/>
                <w:lang w:val="en-US"/>
              </w:rPr>
              <w:t xml:space="preserve">HỤC VỤ </w:t>
            </w:r>
            <w:r>
              <w:rPr>
                <w:b/>
                <w:bCs/>
                <w:lang w:val="vi-VN"/>
              </w:rPr>
              <w:t>XẢN XUẤT NÔNG NGHIỆP VỤ</w:t>
            </w:r>
            <w:r w:rsidR="00CD5661" w:rsidRPr="00CD5661">
              <w:rPr>
                <w:b/>
                <w:bCs/>
                <w:lang w:val="en-US"/>
              </w:rPr>
              <w:t xml:space="preserve"> </w:t>
            </w:r>
          </w:p>
          <w:p w14:paraId="5DB8F933" w14:textId="76CA2BC8" w:rsidR="00B947F5" w:rsidRPr="00B947F5" w:rsidRDefault="00CD5661" w:rsidP="00B947F5">
            <w:pPr>
              <w:spacing w:after="120" w:line="240" w:lineRule="auto"/>
              <w:jc w:val="center"/>
              <w:rPr>
                <w:b/>
                <w:bCs/>
                <w:lang w:val="vi-VN"/>
              </w:rPr>
            </w:pPr>
            <w:r w:rsidRPr="00CD5661">
              <w:rPr>
                <w:b/>
                <w:bCs/>
                <w:lang w:val="en-US"/>
              </w:rPr>
              <w:t>ĐÔNG XUÂN 202</w:t>
            </w:r>
            <w:r w:rsidR="001B4016">
              <w:rPr>
                <w:b/>
                <w:bCs/>
                <w:lang w:val="en-US"/>
              </w:rPr>
              <w:t>2</w:t>
            </w:r>
            <w:r w:rsidR="00E55576">
              <w:rPr>
                <w:b/>
                <w:bCs/>
                <w:lang w:val="en-US"/>
              </w:rPr>
              <w:t xml:space="preserve"> </w:t>
            </w:r>
            <w:r w:rsidR="00B947F5">
              <w:rPr>
                <w:b/>
                <w:bCs/>
                <w:lang w:val="vi-VN"/>
              </w:rPr>
              <w:t>CHO TRUNG DU VÀ ĐỒNG BẰNG BẮC BỘ</w:t>
            </w:r>
          </w:p>
          <w:p w14:paraId="667207C0" w14:textId="726FD310" w:rsidR="00CD5661" w:rsidRPr="00CD5661" w:rsidRDefault="00CD5661" w:rsidP="00E55576">
            <w:pPr>
              <w:spacing w:after="120" w:line="240" w:lineRule="auto"/>
              <w:jc w:val="center"/>
              <w:rPr>
                <w:b/>
                <w:bCs/>
                <w:lang w:val="en-US"/>
              </w:rPr>
            </w:pPr>
          </w:p>
        </w:tc>
      </w:tr>
    </w:tbl>
    <w:p w14:paraId="029985F9" w14:textId="5C5E5A46" w:rsidR="00CD5661" w:rsidRDefault="00CD5661" w:rsidP="00CD5661">
      <w:pPr>
        <w:spacing w:after="120" w:line="240" w:lineRule="auto"/>
        <w:jc w:val="right"/>
        <w:rPr>
          <w:lang w:val="en-US"/>
        </w:rPr>
      </w:pPr>
      <w:r w:rsidRPr="00854518">
        <w:rPr>
          <w:i/>
          <w:color w:val="000000"/>
          <w:szCs w:val="28"/>
          <w:lang w:val="vi-VN"/>
        </w:rPr>
        <w:t xml:space="preserve">Hà Nội, ngày </w:t>
      </w:r>
      <w:r w:rsidR="00356545">
        <w:rPr>
          <w:i/>
          <w:color w:val="000000"/>
          <w:szCs w:val="28"/>
        </w:rPr>
        <w:t>1</w:t>
      </w:r>
      <w:r w:rsidR="007D0D9E">
        <w:rPr>
          <w:i/>
          <w:color w:val="000000"/>
          <w:szCs w:val="28"/>
          <w:lang w:val="vi-VN"/>
        </w:rPr>
        <w:t>8</w:t>
      </w:r>
      <w:r w:rsidRPr="00854518">
        <w:rPr>
          <w:i/>
          <w:color w:val="000000"/>
          <w:szCs w:val="28"/>
        </w:rPr>
        <w:t xml:space="preserve"> </w:t>
      </w:r>
      <w:r w:rsidRPr="00854518">
        <w:rPr>
          <w:i/>
          <w:color w:val="000000"/>
          <w:szCs w:val="28"/>
          <w:lang w:val="vi-VN"/>
        </w:rPr>
        <w:t xml:space="preserve">tháng </w:t>
      </w:r>
      <w:r w:rsidR="008840EE">
        <w:rPr>
          <w:i/>
          <w:color w:val="000000"/>
          <w:szCs w:val="28"/>
        </w:rPr>
        <w:t>0</w:t>
      </w:r>
      <w:r w:rsidR="00356545">
        <w:rPr>
          <w:i/>
          <w:color w:val="000000"/>
          <w:szCs w:val="28"/>
        </w:rPr>
        <w:t>2</w:t>
      </w:r>
      <w:r w:rsidRPr="00854518">
        <w:rPr>
          <w:i/>
          <w:color w:val="000000"/>
          <w:szCs w:val="28"/>
          <w:lang w:val="vi-VN"/>
        </w:rPr>
        <w:t xml:space="preserve"> năm 202</w:t>
      </w:r>
      <w:r w:rsidR="004E4C1E">
        <w:rPr>
          <w:i/>
          <w:color w:val="000000"/>
          <w:szCs w:val="28"/>
          <w:lang w:val="en-US"/>
        </w:rPr>
        <w:t>2</w:t>
      </w:r>
    </w:p>
    <w:p w14:paraId="511B7956" w14:textId="79FFA2E1" w:rsidR="007C1CD3" w:rsidRDefault="007C1CD3" w:rsidP="00613F47">
      <w:pPr>
        <w:spacing w:after="120" w:line="240" w:lineRule="auto"/>
        <w:rPr>
          <w:rFonts w:ascii="TimesNewRomanPSMT" w:hAnsi="TimesNewRomanPSMT" w:cs="TimesNewRomanPSMT"/>
          <w:szCs w:val="28"/>
          <w:lang w:val="en-US"/>
        </w:rPr>
      </w:pPr>
    </w:p>
    <w:p w14:paraId="3A209253" w14:textId="684AD166" w:rsidR="00E55576" w:rsidRDefault="00356545" w:rsidP="00E55576">
      <w:pPr>
        <w:shd w:val="clear" w:color="auto" w:fill="FFFFFF"/>
        <w:spacing w:before="105" w:after="105" w:line="240" w:lineRule="auto"/>
        <w:ind w:firstLine="720"/>
        <w:jc w:val="both"/>
        <w:rPr>
          <w:color w:val="000000"/>
          <w:lang w:val="vi-VN" w:eastAsia="vi-VN" w:bidi="vi-VN"/>
        </w:rPr>
      </w:pPr>
      <w:r>
        <w:rPr>
          <w:rFonts w:ascii="TimesNewRomanPSMT" w:hAnsi="TimesNewRomanPSMT" w:cs="TimesNewRomanPSMT"/>
          <w:szCs w:val="28"/>
          <w:lang w:val="en-US"/>
        </w:rPr>
        <w:t xml:space="preserve">Tổng cục Thủy lợi (Bộ Nông nghiệp &amp; Phát triển nông thôn) </w:t>
      </w:r>
      <w:r w:rsidR="00E55576">
        <w:rPr>
          <w:rFonts w:ascii="TimesNewRomanPSMT" w:hAnsi="TimesNewRomanPSMT" w:cs="TimesNewRomanPSMT"/>
          <w:szCs w:val="28"/>
          <w:lang w:val="en-US"/>
        </w:rPr>
        <w:t>vừa có văn bản 225/BC-TCTL-QLCT ngày 17/2/2022</w:t>
      </w:r>
      <w:r>
        <w:rPr>
          <w:rFonts w:ascii="TimesNewRomanPSMT" w:hAnsi="TimesNewRomanPSMT" w:cs="TimesNewRomanPSMT"/>
          <w:szCs w:val="28"/>
          <w:lang w:val="en-US"/>
        </w:rPr>
        <w:t xml:space="preserve"> </w:t>
      </w:r>
      <w:r w:rsidR="00E55576">
        <w:rPr>
          <w:rFonts w:ascii="TimesNewRomanPSMT" w:hAnsi="TimesNewRomanPSMT" w:cs="TimesNewRomanPSMT"/>
          <w:szCs w:val="28"/>
          <w:lang w:val="en-US"/>
        </w:rPr>
        <w:t>về việc</w:t>
      </w:r>
      <w:r>
        <w:rPr>
          <w:rFonts w:ascii="TimesNewRomanPSMT" w:hAnsi="TimesNewRomanPSMT" w:cs="TimesNewRomanPSMT"/>
          <w:szCs w:val="28"/>
          <w:lang w:val="en-US"/>
        </w:rPr>
        <w:t xml:space="preserve"> </w:t>
      </w:r>
      <w:r w:rsidR="001A09E9">
        <w:rPr>
          <w:rFonts w:ascii="TimesNewRomanPSMT" w:hAnsi="TimesNewRomanPSMT" w:cs="TimesNewRomanPSMT"/>
          <w:szCs w:val="28"/>
          <w:lang w:val="en-US"/>
        </w:rPr>
        <w:t xml:space="preserve">Báo cáo nhanh </w:t>
      </w:r>
      <w:r>
        <w:rPr>
          <w:rFonts w:ascii="TimesNewRomanPSMT" w:hAnsi="TimesNewRomanPSMT" w:cs="TimesNewRomanPSMT"/>
          <w:szCs w:val="28"/>
          <w:lang w:val="en-US"/>
        </w:rPr>
        <w:t xml:space="preserve">Tổng kết </w:t>
      </w:r>
      <w:r w:rsidR="001A09E9">
        <w:rPr>
          <w:rFonts w:ascii="TimesNewRomanPSMT" w:hAnsi="TimesNewRomanPSMT" w:cs="TimesNewRomanPSMT"/>
          <w:szCs w:val="28"/>
          <w:lang w:val="en-US"/>
        </w:rPr>
        <w:t xml:space="preserve">công tác lấy nước phục vụ gieo cấy Vụ Đông Xuân 2021-2022 khu vực trung du và đồng bằng Bắc Bộ. </w:t>
      </w:r>
      <w:r w:rsidR="004128E0">
        <w:rPr>
          <w:color w:val="000000"/>
          <w:lang w:val="vi-VN" w:eastAsia="vi-VN" w:bidi="vi-VN"/>
        </w:rPr>
        <w:t>Báo cáo đánh giá</w:t>
      </w:r>
      <w:r w:rsidR="00E55576">
        <w:rPr>
          <w:color w:val="000000"/>
          <w:lang w:val="vi-VN" w:eastAsia="vi-VN" w:bidi="vi-VN"/>
        </w:rPr>
        <w:t xml:space="preserve"> công tác phối hợp, chỉ đạo, điều hành</w:t>
      </w:r>
      <w:r w:rsidR="00E55576">
        <w:rPr>
          <w:color w:val="000000"/>
          <w:lang w:val="en-US" w:eastAsia="vi-VN" w:bidi="vi-VN"/>
        </w:rPr>
        <w:t xml:space="preserve"> giữa </w:t>
      </w:r>
      <w:r w:rsidR="00000CE2">
        <w:rPr>
          <w:color w:val="000000"/>
          <w:lang w:val="en-US" w:eastAsia="vi-VN" w:bidi="vi-VN"/>
        </w:rPr>
        <w:t>các cơ quan (</w:t>
      </w:r>
      <w:r w:rsidR="00E55576">
        <w:rPr>
          <w:color w:val="000000"/>
          <w:lang w:val="en-US" w:eastAsia="vi-VN" w:bidi="vi-VN"/>
        </w:rPr>
        <w:t xml:space="preserve">Bộ Nông nghiệp và Phát triển nông thôn, Tổng </w:t>
      </w:r>
      <w:r w:rsidR="00000CE2">
        <w:rPr>
          <w:color w:val="000000"/>
          <w:lang w:val="en-US" w:eastAsia="vi-VN" w:bidi="vi-VN"/>
        </w:rPr>
        <w:t>c</w:t>
      </w:r>
      <w:r w:rsidR="00E55576">
        <w:rPr>
          <w:color w:val="000000"/>
          <w:lang w:val="en-US" w:eastAsia="vi-VN" w:bidi="vi-VN"/>
        </w:rPr>
        <w:t xml:space="preserve">ục Thủy lợi, </w:t>
      </w:r>
      <w:r w:rsidR="00000CE2" w:rsidRPr="00E55576">
        <w:rPr>
          <w:rFonts w:ascii="TimesNewRomanPSMT" w:hAnsi="TimesNewRomanPSMT" w:cs="TimesNewRomanPSMT"/>
          <w:szCs w:val="28"/>
          <w:lang w:val="en-US"/>
        </w:rPr>
        <w:t>Tập đoàn Điện lực Việt Nam</w:t>
      </w:r>
      <w:r w:rsidR="00000CE2">
        <w:rPr>
          <w:rFonts w:ascii="TimesNewRomanPSMT" w:hAnsi="TimesNewRomanPSMT" w:cs="TimesNewRomanPSMT"/>
          <w:szCs w:val="28"/>
          <w:lang w:val="en-US"/>
        </w:rPr>
        <w:t>,</w:t>
      </w:r>
      <w:r w:rsidR="00000CE2" w:rsidRPr="00E55576">
        <w:rPr>
          <w:rFonts w:ascii="TimesNewRomanPSMT" w:hAnsi="TimesNewRomanPSMT" w:cs="TimesNewRomanPSMT"/>
          <w:szCs w:val="28"/>
          <w:lang w:val="en-US"/>
        </w:rPr>
        <w:t xml:space="preserve"> </w:t>
      </w:r>
      <w:r w:rsidR="00E55576">
        <w:rPr>
          <w:color w:val="000000"/>
          <w:lang w:val="en-US" w:eastAsia="vi-VN" w:bidi="vi-VN"/>
        </w:rPr>
        <w:t xml:space="preserve">Viện Quy hoạch thủy lợi, </w:t>
      </w:r>
      <w:r w:rsidR="00000CE2">
        <w:rPr>
          <w:color w:val="000000"/>
          <w:lang w:val="vi-VN" w:eastAsia="vi-VN" w:bidi="vi-VN"/>
        </w:rPr>
        <w:t>Trung tâm Dự báo Khí tượng Thủy văn Quốc gia</w:t>
      </w:r>
      <w:r w:rsidR="00000CE2">
        <w:rPr>
          <w:color w:val="000000"/>
          <w:lang w:val="en-US" w:eastAsia="vi-VN" w:bidi="vi-VN"/>
        </w:rPr>
        <w:t>, các cơ quan thông tấn báo chí)</w:t>
      </w:r>
      <w:r w:rsidR="00000CE2">
        <w:rPr>
          <w:color w:val="000000"/>
          <w:lang w:val="vi-VN" w:eastAsia="vi-VN" w:bidi="vi-VN"/>
        </w:rPr>
        <w:t xml:space="preserve"> </w:t>
      </w:r>
      <w:r w:rsidR="0059148F">
        <w:rPr>
          <w:color w:val="000000"/>
          <w:lang w:val="en-US" w:eastAsia="vi-VN" w:bidi="vi-VN"/>
        </w:rPr>
        <w:t xml:space="preserve">ở </w:t>
      </w:r>
      <w:r w:rsidR="00E55576">
        <w:rPr>
          <w:color w:val="000000"/>
          <w:lang w:val="vi-VN" w:eastAsia="vi-VN" w:bidi="vi-VN"/>
        </w:rPr>
        <w:t>các đợt lấy nước được thực hiện sâu sát, quyết liệt góp phần đẩy nhanh tiến độ lấy nước.</w:t>
      </w:r>
    </w:p>
    <w:p w14:paraId="65755F4E" w14:textId="2C3149E1" w:rsidR="00000CE2" w:rsidRDefault="00000CE2" w:rsidP="00000CE2">
      <w:pPr>
        <w:shd w:val="clear" w:color="auto" w:fill="FFFFFF"/>
        <w:spacing w:before="105" w:after="105" w:line="240" w:lineRule="auto"/>
        <w:ind w:firstLine="720"/>
        <w:jc w:val="both"/>
      </w:pPr>
      <w:r>
        <w:rPr>
          <w:rFonts w:ascii="TimesNewRomanPSMT" w:hAnsi="TimesNewRomanPSMT" w:cs="TimesNewRomanPSMT"/>
          <w:szCs w:val="28"/>
          <w:lang w:val="en-US"/>
        </w:rPr>
        <w:t xml:space="preserve">Trong đó, </w:t>
      </w:r>
      <w:r w:rsidRPr="00E55576">
        <w:rPr>
          <w:rFonts w:ascii="TimesNewRomanPSMT" w:hAnsi="TimesNewRomanPSMT" w:cs="TimesNewRomanPSMT"/>
          <w:szCs w:val="28"/>
          <w:lang w:val="en-US"/>
        </w:rPr>
        <w:t>Tập đoàn Điện lực Việt Nam</w:t>
      </w:r>
      <w:r>
        <w:rPr>
          <w:rFonts w:ascii="TimesNewRomanPSMT" w:hAnsi="TimesNewRomanPSMT" w:cs="TimesNewRomanPSMT"/>
          <w:szCs w:val="28"/>
          <w:lang w:val="en-US"/>
        </w:rPr>
        <w:t xml:space="preserve"> được đánh giá</w:t>
      </w:r>
      <w:r w:rsidRPr="00E55576">
        <w:rPr>
          <w:rFonts w:ascii="TimesNewRomanPSMT" w:hAnsi="TimesNewRomanPSMT" w:cs="TimesNewRomanPSMT"/>
          <w:szCs w:val="28"/>
          <w:lang w:val="en-US"/>
        </w:rPr>
        <w:t xml:space="preserve"> đã tổ chức vận hành linh hoạt các nhà máy thủy điện để bổ sung nguồn nước theo yêu cầu và tiết kiệm lượng xả, đồng thời bảo đảm cung cấp đủ điện cho các trạm bơm hoạt động. Thông tin điều hành xả nước của Tập đoàn được gửi hàng ngày đến Tổng cục Thủy lợi và các cơ quan liên quan để phối hợp thực hiện.</w:t>
      </w:r>
      <w:r>
        <w:rPr>
          <w:rFonts w:ascii="TimesNewRomanPSMT" w:hAnsi="TimesNewRomanPSMT" w:cs="TimesNewRomanPSMT"/>
          <w:szCs w:val="28"/>
          <w:lang w:val="en-US"/>
        </w:rPr>
        <w:t xml:space="preserve"> </w:t>
      </w:r>
      <w:r>
        <w:rPr>
          <w:color w:val="000000"/>
          <w:lang w:val="vi-VN" w:eastAsia="vi-VN" w:bidi="vi-VN"/>
        </w:rPr>
        <w:t>Các cơ quan báo chí, truyền thông đã tổ chức tuyên truyền tốt trên các phương tiện thông tin đại chúng về tình hình nguồn nước, lịch lấy nước và các khuyến cáo của Bộ Nông nghiệp và Phát triển nông thôn, góp phần quan trọng thúc đẩy tiến độ lấy nước và sử dụng nước tiết kiệm, hiệu quả.</w:t>
      </w:r>
    </w:p>
    <w:p w14:paraId="0C959A9D" w14:textId="507E3BE9" w:rsidR="00E55576" w:rsidRPr="00E55576" w:rsidRDefault="00E55576" w:rsidP="00E55576">
      <w:pPr>
        <w:shd w:val="clear" w:color="auto" w:fill="FFFFFF"/>
        <w:spacing w:before="105" w:after="105" w:line="240" w:lineRule="auto"/>
        <w:ind w:firstLine="720"/>
        <w:jc w:val="both"/>
        <w:rPr>
          <w:rFonts w:ascii="TimesNewRomanPSMT" w:hAnsi="TimesNewRomanPSMT" w:cs="TimesNewRomanPSMT"/>
          <w:szCs w:val="28"/>
          <w:lang w:val="en-US"/>
        </w:rPr>
      </w:pPr>
      <w:r w:rsidRPr="00E55576">
        <w:rPr>
          <w:rFonts w:ascii="TimesNewRomanPSMT" w:hAnsi="TimesNewRomanPSMT" w:cs="TimesNewRomanPSMT"/>
          <w:szCs w:val="28"/>
          <w:lang w:val="en-US"/>
        </w:rPr>
        <w:t>Báo cáo cho biết</w:t>
      </w:r>
      <w:r>
        <w:rPr>
          <w:rFonts w:ascii="TimesNewRomanPSMT" w:hAnsi="TimesNewRomanPSMT" w:cs="TimesNewRomanPSMT"/>
          <w:szCs w:val="28"/>
          <w:lang w:val="en-US"/>
        </w:rPr>
        <w:t xml:space="preserve"> </w:t>
      </w:r>
      <w:r w:rsidRPr="00E55576">
        <w:rPr>
          <w:rFonts w:ascii="TimesNewRomanPSMT" w:hAnsi="TimesNewRomanPSMT" w:cs="TimesNewRomanPSMT"/>
          <w:szCs w:val="28"/>
          <w:lang w:val="en-US"/>
        </w:rPr>
        <w:t xml:space="preserve">đến chiều ngày 17/2 (ngày cuối cùng của Đợt lấy nước), tổng diện tích đã lấy được nước là 503.235/506.558 ha, đạt 99,34% diện tích gieo cấy theo kế hoạch. </w:t>
      </w:r>
      <w:r>
        <w:rPr>
          <w:rFonts w:ascii="TimesNewRomanPSMT" w:hAnsi="TimesNewRomanPSMT" w:cs="TimesNewRomanPSMT"/>
          <w:szCs w:val="28"/>
          <w:lang w:val="en-US"/>
        </w:rPr>
        <w:t xml:space="preserve">Như vậy, </w:t>
      </w:r>
      <w:r w:rsidRPr="00E55576">
        <w:rPr>
          <w:rFonts w:ascii="TimesNewRomanPSMT" w:hAnsi="TimesNewRomanPSMT" w:cs="TimesNewRomanPSMT"/>
          <w:szCs w:val="28"/>
          <w:lang w:val="en-US"/>
        </w:rPr>
        <w:t xml:space="preserve">trong cả 3 đợt xả nước, tổng cộng lượng xả của cả 3 đợt là 4,24 tỷ m3 (Đợt 1: 1,00 tỷ m3, Đợt 2: 2,44 tỷ m3, Đợt 3: 0,80 tỷ m3). Tổng lượng xả của cả 3 đợt thấp hơn khoảng 1,33 </w:t>
      </w:r>
      <w:r w:rsidRPr="00B1096C">
        <w:rPr>
          <w:rFonts w:cs="Times New Roman"/>
          <w:szCs w:val="28"/>
          <w:lang w:val="en-US"/>
        </w:rPr>
        <w:t>tỷ m</w:t>
      </w:r>
      <w:r w:rsidRPr="00B1096C">
        <w:rPr>
          <w:rFonts w:cs="Times New Roman"/>
          <w:szCs w:val="28"/>
          <w:vertAlign w:val="superscript"/>
          <w:lang w:val="en-US"/>
        </w:rPr>
        <w:t>3</w:t>
      </w:r>
      <w:r w:rsidRPr="00B1096C">
        <w:rPr>
          <w:rFonts w:cs="Times New Roman"/>
          <w:szCs w:val="28"/>
          <w:lang w:val="en-US"/>
        </w:rPr>
        <w:t xml:space="preserve"> </w:t>
      </w:r>
      <w:r w:rsidR="001F5B6B" w:rsidRPr="00B1096C">
        <w:rPr>
          <w:rFonts w:cs="Times New Roman"/>
          <w:szCs w:val="28"/>
          <w:lang w:val="vi-VN"/>
        </w:rPr>
        <w:t xml:space="preserve">nước </w:t>
      </w:r>
      <w:r w:rsidRPr="00B1096C">
        <w:rPr>
          <w:rFonts w:cs="Times New Roman"/>
          <w:szCs w:val="28"/>
          <w:lang w:val="en-US"/>
        </w:rPr>
        <w:t>so</w:t>
      </w:r>
      <w:r w:rsidRPr="00E55576">
        <w:rPr>
          <w:rFonts w:ascii="TimesNewRomanPSMT" w:hAnsi="TimesNewRomanPSMT" w:cs="TimesNewRomanPSMT"/>
          <w:szCs w:val="28"/>
          <w:lang w:val="en-US"/>
        </w:rPr>
        <w:t xml:space="preserve"> với kế hoạch dự kiến ban đầu.</w:t>
      </w:r>
    </w:p>
    <w:p w14:paraId="38F5F940" w14:textId="5E9141EF" w:rsidR="0059148F" w:rsidRDefault="00000CE2" w:rsidP="0024026E">
      <w:pPr>
        <w:shd w:val="clear" w:color="auto" w:fill="FFFFFF"/>
        <w:spacing w:before="105" w:after="105" w:line="240" w:lineRule="auto"/>
        <w:ind w:firstLine="720"/>
        <w:jc w:val="both"/>
        <w:rPr>
          <w:rFonts w:ascii="TimesNewRomanPSMT" w:hAnsi="TimesNewRomanPSMT" w:cs="TimesNewRomanPSMT"/>
          <w:szCs w:val="28"/>
          <w:lang w:val="en-US"/>
        </w:rPr>
      </w:pPr>
      <w:r>
        <w:rPr>
          <w:rFonts w:ascii="TimesNewRomanPSMT" w:hAnsi="TimesNewRomanPSMT" w:cs="TimesNewRomanPSMT"/>
          <w:szCs w:val="28"/>
          <w:lang w:val="en-US"/>
        </w:rPr>
        <w:t>Cũng theo nội dung Báo cáo, m</w:t>
      </w:r>
      <w:r w:rsidRPr="00000CE2">
        <w:rPr>
          <w:rFonts w:ascii="TimesNewRomanPSMT" w:hAnsi="TimesNewRomanPSMT" w:cs="TimesNewRomanPSMT"/>
          <w:szCs w:val="28"/>
          <w:lang w:val="en-US"/>
        </w:rPr>
        <w:t xml:space="preserve">ặc dù </w:t>
      </w:r>
      <w:r>
        <w:rPr>
          <w:rFonts w:ascii="TimesNewRomanPSMT" w:hAnsi="TimesNewRomanPSMT" w:cs="TimesNewRomanPSMT"/>
          <w:szCs w:val="28"/>
          <w:lang w:val="en-US"/>
        </w:rPr>
        <w:t>nhìn</w:t>
      </w:r>
      <w:r w:rsidRPr="00000CE2">
        <w:rPr>
          <w:rFonts w:ascii="TimesNewRomanPSMT" w:hAnsi="TimesNewRomanPSMT" w:cs="TimesNewRomanPSMT"/>
          <w:szCs w:val="28"/>
          <w:lang w:val="en-US"/>
        </w:rPr>
        <w:t xml:space="preserve"> chung</w:t>
      </w:r>
      <w:r>
        <w:rPr>
          <w:rFonts w:ascii="TimesNewRomanPSMT" w:hAnsi="TimesNewRomanPSMT" w:cs="TimesNewRomanPSMT"/>
          <w:szCs w:val="28"/>
          <w:lang w:val="en-US"/>
        </w:rPr>
        <w:t xml:space="preserve"> việc cấp nước đổ ải vụ Đông Xuân 2021-2022</w:t>
      </w:r>
      <w:r w:rsidRPr="00000CE2">
        <w:rPr>
          <w:rFonts w:ascii="TimesNewRomanPSMT" w:hAnsi="TimesNewRomanPSMT" w:cs="TimesNewRomanPSMT"/>
          <w:szCs w:val="28"/>
          <w:lang w:val="en-US"/>
        </w:rPr>
        <w:t xml:space="preserve"> đã hoàn thành trước hạn và tiết kiệm nước so với kế hoạch ban đầu</w:t>
      </w:r>
      <w:r>
        <w:rPr>
          <w:rFonts w:ascii="TimesNewRomanPSMT" w:hAnsi="TimesNewRomanPSMT" w:cs="TimesNewRomanPSMT"/>
          <w:szCs w:val="28"/>
          <w:lang w:val="en-US"/>
        </w:rPr>
        <w:t>,</w:t>
      </w:r>
      <w:r w:rsidRPr="00000CE2">
        <w:rPr>
          <w:rFonts w:ascii="TimesNewRomanPSMT" w:hAnsi="TimesNewRomanPSMT" w:cs="TimesNewRomanPSMT"/>
          <w:szCs w:val="28"/>
          <w:lang w:val="en-US"/>
        </w:rPr>
        <w:t xml:space="preserve"> nhưng riêng đối với một số khu vực tại thành phố Hà Nội, </w:t>
      </w:r>
      <w:r>
        <w:rPr>
          <w:rFonts w:ascii="TimesNewRomanPSMT" w:hAnsi="TimesNewRomanPSMT" w:cs="TimesNewRomanPSMT"/>
          <w:szCs w:val="28"/>
          <w:lang w:val="en-US"/>
        </w:rPr>
        <w:t>d</w:t>
      </w:r>
      <w:r w:rsidRPr="00E55576">
        <w:rPr>
          <w:rFonts w:ascii="TimesNewRomanPSMT" w:hAnsi="TimesNewRomanPSMT" w:cs="TimesNewRomanPSMT"/>
          <w:szCs w:val="28"/>
          <w:lang w:val="en-US"/>
        </w:rPr>
        <w:t>iện tích phụ thuộc vào dòng chảy từ sông Hồng chưa hoàn thành tổng cộng</w:t>
      </w:r>
      <w:r>
        <w:rPr>
          <w:rFonts w:ascii="TimesNewRomanPSMT" w:hAnsi="TimesNewRomanPSMT" w:cs="TimesNewRomanPSMT"/>
          <w:szCs w:val="28"/>
          <w:lang w:val="en-US"/>
        </w:rPr>
        <w:t xml:space="preserve"> là</w:t>
      </w:r>
      <w:r w:rsidRPr="00E55576">
        <w:rPr>
          <w:rFonts w:ascii="TimesNewRomanPSMT" w:hAnsi="TimesNewRomanPSMT" w:cs="TimesNewRomanPSMT"/>
          <w:szCs w:val="28"/>
          <w:lang w:val="en-US"/>
        </w:rPr>
        <w:t xml:space="preserve"> 145 ha, thuộc các huyện Hoài Đức 28 ha, Thạch Thất 117 ha (TP Hà Nội). Các diện tích sẽ tiếp tục được địa phương cấp đủ nước bằng trạm bơm dã chiến.</w:t>
      </w:r>
      <w:r>
        <w:rPr>
          <w:rFonts w:ascii="TimesNewRomanPSMT" w:hAnsi="TimesNewRomanPSMT" w:cs="TimesNewRomanPSMT"/>
          <w:szCs w:val="28"/>
          <w:lang w:val="en-US"/>
        </w:rPr>
        <w:t xml:space="preserve"> </w:t>
      </w:r>
      <w:r w:rsidRPr="00000CE2">
        <w:rPr>
          <w:rFonts w:ascii="TimesNewRomanPSMT" w:hAnsi="TimesNewRomanPSMT" w:cs="TimesNewRomanPSMT"/>
          <w:szCs w:val="28"/>
          <w:lang w:val="en-US"/>
        </w:rPr>
        <w:t xml:space="preserve">Trong thời gian tới, để bảo đảm yêu cầu phục vụ sản xuất và dân sinh, vừa bảo đảm tiết kiệm nuớc để phát điện trong điều kiện nguồn nước ngày càng khó khăn, Tổng cục Thủy lợi </w:t>
      </w:r>
      <w:r>
        <w:rPr>
          <w:rFonts w:ascii="TimesNewRomanPSMT" w:hAnsi="TimesNewRomanPSMT" w:cs="TimesNewRomanPSMT"/>
          <w:szCs w:val="28"/>
          <w:lang w:val="en-US"/>
        </w:rPr>
        <w:t xml:space="preserve">đề nghị </w:t>
      </w:r>
      <w:r w:rsidRPr="00000CE2">
        <w:rPr>
          <w:rFonts w:ascii="TimesNewRomanPSMT" w:hAnsi="TimesNewRomanPSMT" w:cs="TimesNewRomanPSMT"/>
          <w:szCs w:val="28"/>
          <w:lang w:val="en-US"/>
        </w:rPr>
        <w:t xml:space="preserve">Sở Nông nghiệp và Phát triển nông thôn Thành phố Hà Nội đánh giá khả năng lấy nước của các hệ thống thủy lợi trong vụ Đông Xuân 2021-2022; triển khai khẩn cấp xây dựng trạm bom dã chiến Liên Mạc, trạm </w:t>
      </w:r>
      <w:r w:rsidRPr="00000CE2">
        <w:rPr>
          <w:rFonts w:ascii="TimesNewRomanPSMT" w:hAnsi="TimesNewRomanPSMT" w:cs="TimesNewRomanPSMT"/>
          <w:szCs w:val="28"/>
          <w:lang w:val="en-US"/>
        </w:rPr>
        <w:lastRenderedPageBreak/>
        <w:t>bom dã chiến Trung Hà; cải tạo, nâng cấp một số công trình lấy nước thuộc Thành phố để bảo đảm đủ năng lực theo kịp tiến độ lấy nước của các địa phương khác (trạm bom Ấp Bắc, Liên Mạc, Trung Hà).</w:t>
      </w:r>
    </w:p>
    <w:p w14:paraId="059B4F62" w14:textId="6504642C" w:rsidR="0059148F" w:rsidRPr="0059148F" w:rsidRDefault="0059148F" w:rsidP="0059148F">
      <w:pPr>
        <w:shd w:val="clear" w:color="auto" w:fill="FFFFFF"/>
        <w:spacing w:before="105" w:after="105" w:line="240" w:lineRule="auto"/>
        <w:jc w:val="both"/>
        <w:rPr>
          <w:rFonts w:ascii="TimesNewRomanPSMT" w:hAnsi="TimesNewRomanPSMT" w:cs="TimesNewRomanPSMT"/>
          <w:b/>
          <w:bCs/>
          <w:szCs w:val="28"/>
          <w:lang w:val="en-US"/>
        </w:rPr>
      </w:pPr>
      <w:r w:rsidRPr="0059148F">
        <w:rPr>
          <w:rFonts w:ascii="TimesNewRomanPSMT" w:hAnsi="TimesNewRomanPSMT" w:cs="TimesNewRomanPSMT"/>
          <w:b/>
          <w:bCs/>
          <w:szCs w:val="28"/>
          <w:lang w:val="en-US"/>
        </w:rPr>
        <w:t xml:space="preserve">EVN đã thực hiện đúng yêu cầu xả nước từ các hồ thủy điện, đồng thời đảm bảo cung cấp điện phục vụ bơm </w:t>
      </w:r>
      <w:r>
        <w:rPr>
          <w:rFonts w:ascii="TimesNewRomanPSMT" w:hAnsi="TimesNewRomanPSMT" w:cs="TimesNewRomanPSMT"/>
          <w:b/>
          <w:bCs/>
          <w:szCs w:val="28"/>
          <w:lang w:val="en-US"/>
        </w:rPr>
        <w:t xml:space="preserve">dẫn </w:t>
      </w:r>
      <w:r w:rsidRPr="0059148F">
        <w:rPr>
          <w:rFonts w:ascii="TimesNewRomanPSMT" w:hAnsi="TimesNewRomanPSMT" w:cs="TimesNewRomanPSMT"/>
          <w:b/>
          <w:bCs/>
          <w:szCs w:val="28"/>
          <w:lang w:val="en-US"/>
        </w:rPr>
        <w:t xml:space="preserve">nước </w:t>
      </w:r>
    </w:p>
    <w:p w14:paraId="589366D9" w14:textId="2EE5F314" w:rsidR="00356545" w:rsidRPr="0059148F" w:rsidRDefault="0059148F" w:rsidP="0024026E">
      <w:pPr>
        <w:shd w:val="clear" w:color="auto" w:fill="FFFFFF"/>
        <w:spacing w:before="105" w:after="105" w:line="240" w:lineRule="auto"/>
        <w:ind w:firstLine="720"/>
        <w:jc w:val="both"/>
        <w:rPr>
          <w:rFonts w:ascii="TimesNewRomanPSMT" w:hAnsi="TimesNewRomanPSMT" w:cs="TimesNewRomanPSMT"/>
          <w:szCs w:val="28"/>
          <w:lang w:val="en-US"/>
        </w:rPr>
      </w:pPr>
      <w:r>
        <w:rPr>
          <w:rFonts w:ascii="TimesNewRomanPSMT" w:hAnsi="TimesNewRomanPSMT" w:cs="TimesNewRomanPSMT"/>
          <w:szCs w:val="28"/>
          <w:lang w:val="en-US"/>
        </w:rPr>
        <w:t>Ngay sau khi nhận được văn bản của của</w:t>
      </w:r>
      <w:r w:rsidRPr="0068353C">
        <w:rPr>
          <w:rFonts w:ascii="TimesNewRomanPSMT" w:hAnsi="TimesNewRomanPSMT" w:cs="TimesNewRomanPSMT"/>
          <w:szCs w:val="28"/>
          <w:lang w:val="en-US"/>
        </w:rPr>
        <w:t xml:space="preserve"> Bộ Nông nghiệp và Phát triển nông thôn (NN&amp;PTNT) thông báo lịch lấy nước phục vụ gieo cấy lúa vụ Đông Xuân 2021-2022 khu vực Trung du và Đồng bằng Bắc Bộ</w:t>
      </w:r>
      <w:r>
        <w:rPr>
          <w:rFonts w:ascii="TimesNewRomanPSMT" w:hAnsi="TimesNewRomanPSMT" w:cs="TimesNewRomanPSMT"/>
          <w:szCs w:val="28"/>
          <w:lang w:val="en-US"/>
        </w:rPr>
        <w:t xml:space="preserve">, EVN đã xây dựng kế hoạch vận hành và xả nước từ các hồ thủy điện phía Bắc (Hòa Bình, Thác Bà, Tuyên Quang) </w:t>
      </w:r>
      <w:r>
        <w:rPr>
          <w:szCs w:val="28"/>
        </w:rPr>
        <w:t>v</w:t>
      </w:r>
      <w:r w:rsidRPr="00122A60">
        <w:rPr>
          <w:szCs w:val="28"/>
        </w:rPr>
        <w:t>à</w:t>
      </w:r>
      <w:r>
        <w:rPr>
          <w:szCs w:val="28"/>
        </w:rPr>
        <w:t xml:space="preserve"> </w:t>
      </w:r>
      <w:r w:rsidRPr="00122A60">
        <w:rPr>
          <w:rFonts w:hint="eastAsia"/>
          <w:szCs w:val="28"/>
        </w:rPr>
        <w:t>đ</w:t>
      </w:r>
      <w:r w:rsidRPr="00122A60">
        <w:rPr>
          <w:szCs w:val="28"/>
        </w:rPr>
        <w:t>ảm</w:t>
      </w:r>
      <w:r>
        <w:rPr>
          <w:szCs w:val="28"/>
        </w:rPr>
        <w:t xml:space="preserve"> b</w:t>
      </w:r>
      <w:r w:rsidRPr="00122A60">
        <w:rPr>
          <w:szCs w:val="28"/>
        </w:rPr>
        <w:t>ảo</w:t>
      </w:r>
      <w:r>
        <w:rPr>
          <w:szCs w:val="28"/>
        </w:rPr>
        <w:t xml:space="preserve"> </w:t>
      </w:r>
      <w:r w:rsidRPr="00122A60">
        <w:rPr>
          <w:rFonts w:hint="eastAsia"/>
          <w:szCs w:val="28"/>
        </w:rPr>
        <w:t>đ</w:t>
      </w:r>
      <w:r>
        <w:rPr>
          <w:szCs w:val="28"/>
        </w:rPr>
        <w:t>i</w:t>
      </w:r>
      <w:r w:rsidRPr="00122A60">
        <w:rPr>
          <w:szCs w:val="28"/>
        </w:rPr>
        <w:t>ện</w:t>
      </w:r>
      <w:r>
        <w:rPr>
          <w:szCs w:val="28"/>
        </w:rPr>
        <w:t xml:space="preserve"> </w:t>
      </w:r>
      <w:r w:rsidRPr="00D05C74">
        <w:rPr>
          <w:szCs w:val="28"/>
          <w:lang w:val="vi-VN"/>
        </w:rPr>
        <w:t xml:space="preserve">phục vụ </w:t>
      </w:r>
      <w:r>
        <w:rPr>
          <w:szCs w:val="28"/>
        </w:rPr>
        <w:t>b</w:t>
      </w:r>
      <w:r w:rsidRPr="00122A60">
        <w:rPr>
          <w:rFonts w:hint="eastAsia"/>
          <w:szCs w:val="28"/>
        </w:rPr>
        <w:t>ơ</w:t>
      </w:r>
      <w:r>
        <w:rPr>
          <w:szCs w:val="28"/>
        </w:rPr>
        <w:t>m n</w:t>
      </w:r>
      <w:r w:rsidRPr="00122A60">
        <w:rPr>
          <w:rFonts w:hint="eastAsia"/>
          <w:szCs w:val="28"/>
        </w:rPr>
        <w:t>ư</w:t>
      </w:r>
      <w:r w:rsidRPr="00122A60">
        <w:rPr>
          <w:szCs w:val="28"/>
        </w:rPr>
        <w:t>ớc</w:t>
      </w:r>
      <w:r>
        <w:rPr>
          <w:szCs w:val="28"/>
        </w:rPr>
        <w:t xml:space="preserve"> </w:t>
      </w:r>
      <w:r w:rsidRPr="00D05C74">
        <w:rPr>
          <w:szCs w:val="28"/>
          <w:lang w:val="vi-VN"/>
        </w:rPr>
        <w:t>gieo cấy</w:t>
      </w:r>
      <w:r>
        <w:rPr>
          <w:szCs w:val="28"/>
          <w:lang w:val="en-US"/>
        </w:rPr>
        <w:t xml:space="preserve">. </w:t>
      </w:r>
    </w:p>
    <w:p w14:paraId="2C2CB24E" w14:textId="0FDC837C" w:rsidR="0059148F" w:rsidRDefault="0059148F" w:rsidP="0059148F">
      <w:pPr>
        <w:tabs>
          <w:tab w:val="left" w:pos="360"/>
        </w:tabs>
        <w:spacing w:after="120" w:line="240" w:lineRule="auto"/>
        <w:jc w:val="both"/>
        <w:rPr>
          <w:szCs w:val="28"/>
          <w:lang w:val="vi-VN"/>
        </w:rPr>
      </w:pPr>
      <w:r>
        <w:rPr>
          <w:szCs w:val="28"/>
          <w:lang w:val="en-US"/>
        </w:rPr>
        <w:tab/>
      </w:r>
      <w:r>
        <w:rPr>
          <w:szCs w:val="28"/>
          <w:lang w:val="en-US"/>
        </w:rPr>
        <w:tab/>
        <w:t>EVN đã chỉ đạo T</w:t>
      </w:r>
      <w:r w:rsidRPr="002861FB">
        <w:rPr>
          <w:szCs w:val="28"/>
        </w:rPr>
        <w:t xml:space="preserve">rung tâm Điều độ hệ thống điện </w:t>
      </w:r>
      <w:r>
        <w:rPr>
          <w:szCs w:val="28"/>
        </w:rPr>
        <w:t>Q</w:t>
      </w:r>
      <w:r w:rsidRPr="002861FB">
        <w:rPr>
          <w:szCs w:val="28"/>
        </w:rPr>
        <w:t>uốc gia</w:t>
      </w:r>
      <w:r>
        <w:rPr>
          <w:szCs w:val="28"/>
        </w:rPr>
        <w:t xml:space="preserve"> t</w:t>
      </w:r>
      <w:r w:rsidRPr="002861FB">
        <w:rPr>
          <w:szCs w:val="28"/>
        </w:rPr>
        <w:t xml:space="preserve">hực hiện </w:t>
      </w:r>
      <w:r w:rsidRPr="002861FB">
        <w:rPr>
          <w:rFonts w:hint="eastAsia"/>
          <w:szCs w:val="28"/>
        </w:rPr>
        <w:t>đ</w:t>
      </w:r>
      <w:r w:rsidRPr="002861FB">
        <w:rPr>
          <w:szCs w:val="28"/>
        </w:rPr>
        <w:t>iều tiết n</w:t>
      </w:r>
      <w:r w:rsidRPr="002861FB">
        <w:rPr>
          <w:rFonts w:hint="eastAsia"/>
          <w:szCs w:val="28"/>
        </w:rPr>
        <w:t>ư</w:t>
      </w:r>
      <w:r w:rsidRPr="002861FB">
        <w:rPr>
          <w:szCs w:val="28"/>
        </w:rPr>
        <w:t xml:space="preserve">ớc các hồ thủy </w:t>
      </w:r>
      <w:r w:rsidRPr="002861FB">
        <w:rPr>
          <w:rFonts w:hint="eastAsia"/>
          <w:szCs w:val="28"/>
        </w:rPr>
        <w:t>đ</w:t>
      </w:r>
      <w:r w:rsidRPr="002861FB">
        <w:rPr>
          <w:szCs w:val="28"/>
        </w:rPr>
        <w:t xml:space="preserve">iện và vận hành hệ thống hợp lý </w:t>
      </w:r>
      <w:r w:rsidRPr="002861FB">
        <w:rPr>
          <w:rFonts w:hint="eastAsia"/>
          <w:szCs w:val="28"/>
        </w:rPr>
        <w:t>đ</w:t>
      </w:r>
      <w:r w:rsidRPr="002861FB">
        <w:rPr>
          <w:szCs w:val="28"/>
        </w:rPr>
        <w:t xml:space="preserve">ể </w:t>
      </w:r>
      <w:r w:rsidRPr="002861FB">
        <w:rPr>
          <w:rFonts w:hint="eastAsia"/>
          <w:szCs w:val="28"/>
        </w:rPr>
        <w:t>đá</w:t>
      </w:r>
      <w:r w:rsidRPr="002861FB">
        <w:rPr>
          <w:szCs w:val="28"/>
        </w:rPr>
        <w:t>p ứng nhu cầu n</w:t>
      </w:r>
      <w:r w:rsidRPr="002861FB">
        <w:rPr>
          <w:rFonts w:hint="eastAsia"/>
          <w:szCs w:val="28"/>
        </w:rPr>
        <w:t>ư</w:t>
      </w:r>
      <w:r w:rsidRPr="002861FB">
        <w:rPr>
          <w:szCs w:val="28"/>
        </w:rPr>
        <w:t xml:space="preserve">ớc và </w:t>
      </w:r>
      <w:r w:rsidRPr="002861FB">
        <w:rPr>
          <w:rFonts w:hint="eastAsia"/>
          <w:szCs w:val="28"/>
        </w:rPr>
        <w:t>đ</w:t>
      </w:r>
      <w:r w:rsidRPr="002861FB">
        <w:rPr>
          <w:szCs w:val="28"/>
        </w:rPr>
        <w:t xml:space="preserve">ảm bảo kế hoạch cung cấp </w:t>
      </w:r>
      <w:r w:rsidRPr="002861FB">
        <w:rPr>
          <w:rFonts w:hint="eastAsia"/>
          <w:szCs w:val="28"/>
        </w:rPr>
        <w:t>đ</w:t>
      </w:r>
      <w:r w:rsidRPr="002861FB">
        <w:rPr>
          <w:szCs w:val="28"/>
        </w:rPr>
        <w:t>iện</w:t>
      </w:r>
      <w:r>
        <w:rPr>
          <w:szCs w:val="28"/>
        </w:rPr>
        <w:t xml:space="preserve">, đồng thời </w:t>
      </w:r>
      <w:r w:rsidRPr="002861FB">
        <w:rPr>
          <w:szCs w:val="28"/>
        </w:rPr>
        <w:t>điều tiết các hồ chứa duy trì mực nước tại Hà Nội ở mức hợp lý để tiết kiệm nguồn nước đảm bảo hiệu quả cao nhất của 3 đợt lấy nước tập trung và đảm bảo cung cấp điện mùa khô</w:t>
      </w:r>
      <w:r>
        <w:rPr>
          <w:szCs w:val="28"/>
        </w:rPr>
        <w:t xml:space="preserve"> năm 2022</w:t>
      </w:r>
      <w:r w:rsidRPr="002861FB">
        <w:rPr>
          <w:szCs w:val="28"/>
        </w:rPr>
        <w:t xml:space="preserve"> cho hệ thống điện Quốc gia</w:t>
      </w:r>
      <w:r>
        <w:rPr>
          <w:szCs w:val="28"/>
        </w:rPr>
        <w:t>. EVN cũng đã yêu cầu c</w:t>
      </w:r>
      <w:r w:rsidRPr="002861FB">
        <w:rPr>
          <w:szCs w:val="28"/>
        </w:rPr>
        <w:t>ác Công ty Điện lực</w:t>
      </w:r>
      <w:r>
        <w:rPr>
          <w:szCs w:val="28"/>
        </w:rPr>
        <w:t xml:space="preserve"> rà soát, kiểm tra và chuẩn bị sẵn sàng để</w:t>
      </w:r>
      <w:r w:rsidRPr="002861FB">
        <w:rPr>
          <w:szCs w:val="28"/>
        </w:rPr>
        <w:t xml:space="preserve"> đảm bảo cung cấp điện ổn định, liên tục cho các trạm bơm điện trong suốt thời gian lấy nước tập trung </w:t>
      </w:r>
      <w:r w:rsidRPr="00CD5661">
        <w:rPr>
          <w:szCs w:val="28"/>
        </w:rPr>
        <w:t xml:space="preserve">(từ ngày </w:t>
      </w:r>
      <w:r>
        <w:rPr>
          <w:szCs w:val="28"/>
        </w:rPr>
        <w:t>04</w:t>
      </w:r>
      <w:r w:rsidRPr="00CD5661">
        <w:rPr>
          <w:szCs w:val="28"/>
        </w:rPr>
        <w:t>/01/202</w:t>
      </w:r>
      <w:r>
        <w:rPr>
          <w:szCs w:val="28"/>
        </w:rPr>
        <w:t>2</w:t>
      </w:r>
      <w:r w:rsidRPr="00CD5661">
        <w:rPr>
          <w:szCs w:val="28"/>
        </w:rPr>
        <w:t xml:space="preserve"> </w:t>
      </w:r>
      <w:r w:rsidRPr="00CD5661">
        <w:rPr>
          <w:rFonts w:hint="eastAsia"/>
          <w:szCs w:val="28"/>
        </w:rPr>
        <w:t>đ</w:t>
      </w:r>
      <w:r w:rsidRPr="00CD5661">
        <w:rPr>
          <w:szCs w:val="28"/>
        </w:rPr>
        <w:t xml:space="preserve">ến </w:t>
      </w:r>
      <w:r>
        <w:rPr>
          <w:szCs w:val="28"/>
        </w:rPr>
        <w:t>1</w:t>
      </w:r>
      <w:r w:rsidRPr="00CD5661">
        <w:rPr>
          <w:szCs w:val="28"/>
        </w:rPr>
        <w:t>7/02/202</w:t>
      </w:r>
      <w:r>
        <w:rPr>
          <w:szCs w:val="28"/>
        </w:rPr>
        <w:t>2</w:t>
      </w:r>
      <w:r w:rsidRPr="00CD5661">
        <w:rPr>
          <w:szCs w:val="28"/>
        </w:rPr>
        <w:t>)</w:t>
      </w:r>
      <w:r w:rsidRPr="002861FB">
        <w:rPr>
          <w:szCs w:val="28"/>
        </w:rPr>
        <w:t xml:space="preserve"> và sau các đợt lấy nước để phục vụ bơm dẫn nước</w:t>
      </w:r>
      <w:r>
        <w:rPr>
          <w:szCs w:val="28"/>
        </w:rPr>
        <w:t>.</w:t>
      </w:r>
    </w:p>
    <w:p w14:paraId="7FAD7149" w14:textId="67579E62" w:rsidR="0059148F" w:rsidRDefault="0059148F" w:rsidP="0059148F">
      <w:pPr>
        <w:spacing w:after="120" w:line="240" w:lineRule="auto"/>
        <w:ind w:firstLine="720"/>
        <w:jc w:val="both"/>
        <w:rPr>
          <w:szCs w:val="28"/>
        </w:rPr>
      </w:pPr>
      <w:r>
        <w:rPr>
          <w:szCs w:val="28"/>
          <w:lang w:val="en-US"/>
        </w:rPr>
        <w:t xml:space="preserve">Đặc biệt, để tránh lãng phí </w:t>
      </w:r>
      <w:r w:rsidRPr="002861FB">
        <w:rPr>
          <w:szCs w:val="28"/>
        </w:rPr>
        <w:t>nước và tiết kiệm sử dụng điện</w:t>
      </w:r>
      <w:r>
        <w:rPr>
          <w:szCs w:val="28"/>
        </w:rPr>
        <w:t>, EVN và các Công ty Thủy điện liên quan đã chủ động đ</w:t>
      </w:r>
      <w:r w:rsidRPr="002861FB">
        <w:rPr>
          <w:szCs w:val="28"/>
        </w:rPr>
        <w:t>ề nghị các Sở Nông nghiệp và Phát triển nông thôn</w:t>
      </w:r>
      <w:r>
        <w:rPr>
          <w:szCs w:val="28"/>
        </w:rPr>
        <w:t xml:space="preserve"> các tỉnh/ thành phố</w:t>
      </w:r>
      <w:r w:rsidRPr="002861FB">
        <w:rPr>
          <w:szCs w:val="28"/>
        </w:rPr>
        <w:t xml:space="preserve"> chỉ đạo ngay các địa </w:t>
      </w:r>
      <w:r>
        <w:rPr>
          <w:szCs w:val="28"/>
        </w:rPr>
        <w:t>ph</w:t>
      </w:r>
      <w:r w:rsidRPr="00D05C74">
        <w:rPr>
          <w:rFonts w:hint="eastAsia"/>
          <w:szCs w:val="28"/>
        </w:rPr>
        <w:t>ươ</w:t>
      </w:r>
      <w:r>
        <w:rPr>
          <w:szCs w:val="28"/>
        </w:rPr>
        <w:t xml:space="preserve">ng </w:t>
      </w:r>
      <w:r w:rsidRPr="002861FB">
        <w:rPr>
          <w:szCs w:val="28"/>
        </w:rPr>
        <w:t xml:space="preserve">chủ động bơm sớm, trữ nước vào ao, đầm, vùng trũng thấp và các kênh dẫn từ các nguồn nước sẵn có ở sông, ngòi. </w:t>
      </w:r>
      <w:r>
        <w:rPr>
          <w:szCs w:val="28"/>
        </w:rPr>
        <w:t>Ngoài ra cần l</w:t>
      </w:r>
      <w:r w:rsidRPr="002861FB">
        <w:rPr>
          <w:szCs w:val="28"/>
        </w:rPr>
        <w:t>ấy đủ nước vào ruộng trong thời gian xả nước tập trung từ các hồ thủy điện để tránh lãng phí nước và tiết kiệm sử dụng điện.</w:t>
      </w:r>
      <w:r>
        <w:rPr>
          <w:szCs w:val="28"/>
        </w:rPr>
        <w:t xml:space="preserve"> Các đơn vị của ngành Điện lực cũng đ</w:t>
      </w:r>
      <w:r w:rsidRPr="002861FB">
        <w:rPr>
          <w:szCs w:val="28"/>
        </w:rPr>
        <w:t xml:space="preserve">ề nghị các Công ty khai thác công trình thủy lợi </w:t>
      </w:r>
      <w:r>
        <w:rPr>
          <w:szCs w:val="28"/>
        </w:rPr>
        <w:t>t</w:t>
      </w:r>
      <w:r w:rsidRPr="002861FB">
        <w:rPr>
          <w:szCs w:val="28"/>
        </w:rPr>
        <w:t>heo dõi sát nguồn nước trong thời gian xả nước tập trung để bơm nước vào hệ thống thủy nông, sử dụng có hiệu quả nguồn nước từ các hồ thủy điện, đảm bảo cung cấp đủ lượng nước đổ ải và tưới dưỡng cho lúa.</w:t>
      </w:r>
    </w:p>
    <w:p w14:paraId="09F059A0" w14:textId="77777777" w:rsidR="006F6EE6" w:rsidRDefault="006F6EE6" w:rsidP="001719C7">
      <w:pPr>
        <w:spacing w:after="120" w:line="240" w:lineRule="auto"/>
        <w:ind w:firstLine="720"/>
        <w:jc w:val="both"/>
        <w:rPr>
          <w:szCs w:val="28"/>
        </w:rPr>
      </w:pPr>
    </w:p>
    <w:p w14:paraId="7ECB5C1E" w14:textId="77777777" w:rsidR="00CD5661" w:rsidRPr="00734EBE" w:rsidRDefault="00CD5661" w:rsidP="00CD5661">
      <w:pPr>
        <w:ind w:firstLine="709"/>
        <w:rPr>
          <w:b/>
          <w:color w:val="000000"/>
          <w:sz w:val="22"/>
          <w:u w:val="single"/>
          <w:lang w:val="pt-BR"/>
        </w:rPr>
      </w:pPr>
      <w:r w:rsidRPr="00734EBE">
        <w:rPr>
          <w:b/>
          <w:color w:val="000000"/>
          <w:sz w:val="22"/>
          <w:u w:val="single"/>
          <w:lang w:val="pt-BR"/>
        </w:rPr>
        <w:t>THÔNG TIN LIÊN HỆ:</w:t>
      </w:r>
    </w:p>
    <w:p w14:paraId="5A99DA8A"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Ban Truyền thông - Tập đoàn Điện lực Việt Nam;</w:t>
      </w:r>
    </w:p>
    <w:p w14:paraId="5B61D2D9"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9" w:history="1">
        <w:r w:rsidRPr="00734EBE">
          <w:rPr>
            <w:rStyle w:val="Hyperlink"/>
            <w:color w:val="000000"/>
            <w:sz w:val="22"/>
            <w:szCs w:val="22"/>
          </w:rPr>
          <w:t>bantt@evn.com.vn</w:t>
        </w:r>
      </w:hyperlink>
    </w:p>
    <w:p w14:paraId="52E2AC31"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024.66946405/66946413;   Fax: 024.66946402</w:t>
      </w:r>
    </w:p>
    <w:p w14:paraId="5CF4BA14"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Địa chỉ: Số 11 phố Cửa Bắc, phường Trúc Bạch, quận Ba Đình - Hà Nội;</w:t>
      </w:r>
    </w:p>
    <w:p w14:paraId="339368C8"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0" w:history="1">
        <w:r w:rsidRPr="00734EBE">
          <w:rPr>
            <w:rStyle w:val="Hyperlink"/>
            <w:color w:val="000000"/>
            <w:sz w:val="22"/>
            <w:szCs w:val="22"/>
          </w:rPr>
          <w:t>www.evn.com.vn</w:t>
        </w:r>
      </w:hyperlink>
      <w:r w:rsidRPr="00734EBE">
        <w:rPr>
          <w:color w:val="000000"/>
          <w:sz w:val="22"/>
          <w:szCs w:val="22"/>
        </w:rPr>
        <w:t>, </w:t>
      </w:r>
      <w:hyperlink r:id="rId11" w:history="1">
        <w:r w:rsidRPr="00734EBE">
          <w:rPr>
            <w:rStyle w:val="Hyperlink"/>
            <w:color w:val="000000"/>
            <w:sz w:val="22"/>
            <w:szCs w:val="22"/>
          </w:rPr>
          <w:t>www.tietkiemnangluong.vn</w:t>
        </w:r>
      </w:hyperlink>
      <w:r w:rsidRPr="00734EBE">
        <w:rPr>
          <w:color w:val="000000"/>
          <w:sz w:val="22"/>
          <w:szCs w:val="22"/>
        </w:rPr>
        <w:t xml:space="preserve"> </w:t>
      </w:r>
    </w:p>
    <w:p w14:paraId="3927A07E"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Fanpage: </w:t>
      </w:r>
      <w:hyperlink r:id="rId12"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4044C176" w14:textId="77777777" w:rsidR="00CD5661" w:rsidRPr="00534889" w:rsidRDefault="00CD5661" w:rsidP="00CD5661">
      <w:pPr>
        <w:spacing w:after="120" w:line="240" w:lineRule="auto"/>
        <w:ind w:firstLine="720"/>
        <w:jc w:val="both"/>
        <w:rPr>
          <w:szCs w:val="28"/>
          <w:lang w:val="en-US"/>
        </w:rPr>
      </w:pPr>
    </w:p>
    <w:sectPr w:rsidR="00CD5661" w:rsidRPr="00534889" w:rsidSect="006F6EE6">
      <w:pgSz w:w="11906" w:h="16838" w:code="9"/>
      <w:pgMar w:top="1141" w:right="113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7C8"/>
    <w:multiLevelType w:val="multilevel"/>
    <w:tmpl w:val="76DA217E"/>
    <w:lvl w:ilvl="0">
      <w:start w:val="1"/>
      <w:numFmt w:val="lowerLetter"/>
      <w:lvlText w:val="%1)"/>
      <w:lvlJc w:val="left"/>
      <w:pPr>
        <w:tabs>
          <w:tab w:val="num" w:pos="170"/>
        </w:tabs>
        <w:ind w:left="567" w:hanging="34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81E116D"/>
    <w:multiLevelType w:val="hybridMultilevel"/>
    <w:tmpl w:val="855EDC0A"/>
    <w:lvl w:ilvl="0" w:tplc="138762CC">
      <w:start w:val="1"/>
      <w:numFmt w:val="bullet"/>
      <w:lvlText w:val="-"/>
      <w:lvlJc w:val="left"/>
      <w:pPr>
        <w:tabs>
          <w:tab w:val="left" w:pos="576"/>
        </w:tabs>
        <w:ind w:left="576" w:hanging="216"/>
      </w:pPr>
      <w:rPr>
        <w:rFonts w:ascii="Times New Roman" w:hAnsi="Times New Roman"/>
      </w:rPr>
    </w:lvl>
    <w:lvl w:ilvl="1" w:tplc="77234806">
      <w:start w:val="1"/>
      <w:numFmt w:val="bullet"/>
      <w:lvlText w:val="-"/>
      <w:lvlJc w:val="left"/>
      <w:pPr>
        <w:tabs>
          <w:tab w:val="left" w:pos="1296"/>
        </w:tabs>
        <w:ind w:left="1296" w:hanging="216"/>
      </w:pPr>
      <w:rPr>
        <w:rFonts w:ascii="Times New Roman" w:hAnsi="Times New Roman"/>
      </w:rPr>
    </w:lvl>
    <w:lvl w:ilvl="2" w:tplc="01BA7A7A">
      <w:start w:val="1"/>
      <w:numFmt w:val="lowerRoman"/>
      <w:lvlText w:val="%3."/>
      <w:lvlJc w:val="right"/>
      <w:pPr>
        <w:tabs>
          <w:tab w:val="left" w:pos="2160"/>
        </w:tabs>
        <w:ind w:left="2160" w:hanging="180"/>
      </w:pPr>
    </w:lvl>
    <w:lvl w:ilvl="3" w:tplc="0C16F15E">
      <w:start w:val="1"/>
      <w:numFmt w:val="decimal"/>
      <w:lvlText w:val="%4."/>
      <w:lvlJc w:val="left"/>
      <w:pPr>
        <w:tabs>
          <w:tab w:val="left" w:pos="2880"/>
        </w:tabs>
        <w:ind w:left="2880" w:hanging="360"/>
      </w:pPr>
    </w:lvl>
    <w:lvl w:ilvl="4" w:tplc="5994E4A2">
      <w:start w:val="1"/>
      <w:numFmt w:val="lowerLetter"/>
      <w:lvlText w:val="%5."/>
      <w:lvlJc w:val="left"/>
      <w:pPr>
        <w:tabs>
          <w:tab w:val="left" w:pos="3600"/>
        </w:tabs>
        <w:ind w:left="3600" w:hanging="360"/>
      </w:pPr>
    </w:lvl>
    <w:lvl w:ilvl="5" w:tplc="BE9C1912">
      <w:start w:val="1"/>
      <w:numFmt w:val="lowerRoman"/>
      <w:lvlText w:val="%6."/>
      <w:lvlJc w:val="right"/>
      <w:pPr>
        <w:tabs>
          <w:tab w:val="left" w:pos="4320"/>
        </w:tabs>
        <w:ind w:left="4320" w:hanging="180"/>
      </w:pPr>
    </w:lvl>
    <w:lvl w:ilvl="6" w:tplc="408A4C50">
      <w:start w:val="1"/>
      <w:numFmt w:val="decimal"/>
      <w:lvlText w:val="%7."/>
      <w:lvlJc w:val="left"/>
      <w:pPr>
        <w:tabs>
          <w:tab w:val="left" w:pos="5040"/>
        </w:tabs>
        <w:ind w:left="5040" w:hanging="360"/>
      </w:pPr>
    </w:lvl>
    <w:lvl w:ilvl="7" w:tplc="002293E6">
      <w:start w:val="1"/>
      <w:numFmt w:val="lowerLetter"/>
      <w:lvlText w:val="%8."/>
      <w:lvlJc w:val="left"/>
      <w:pPr>
        <w:tabs>
          <w:tab w:val="left" w:pos="5760"/>
        </w:tabs>
        <w:ind w:left="5760" w:hanging="360"/>
      </w:pPr>
    </w:lvl>
    <w:lvl w:ilvl="8" w:tplc="58B23794">
      <w:start w:val="1"/>
      <w:numFmt w:val="lowerRoman"/>
      <w:lvlText w:val="%9."/>
      <w:lvlJc w:val="right"/>
      <w:pPr>
        <w:tabs>
          <w:tab w:val="left" w:pos="6480"/>
        </w:tabs>
        <w:ind w:left="6480" w:hanging="180"/>
      </w:pPr>
    </w:lvl>
  </w:abstractNum>
  <w:abstractNum w:abstractNumId="2" w15:restartNumberingAfterBreak="0">
    <w:nsid w:val="4AB12D14"/>
    <w:multiLevelType w:val="hybridMultilevel"/>
    <w:tmpl w:val="41140B9E"/>
    <w:lvl w:ilvl="0" w:tplc="AE5C7B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80DF7"/>
    <w:multiLevelType w:val="hybridMultilevel"/>
    <w:tmpl w:val="1FA087E4"/>
    <w:lvl w:ilvl="0" w:tplc="AA5CFB02">
      <w:start w:val="2"/>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B711F7"/>
    <w:multiLevelType w:val="multilevel"/>
    <w:tmpl w:val="E8A47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02EB1"/>
    <w:multiLevelType w:val="multilevel"/>
    <w:tmpl w:val="F33A7FD0"/>
    <w:lvl w:ilvl="0">
      <w:start w:val="1"/>
      <w:numFmt w:val="lowerLetter"/>
      <w:lvlText w:val="%1)"/>
      <w:lvlJc w:val="left"/>
      <w:pPr>
        <w:tabs>
          <w:tab w:val="left" w:pos="170"/>
        </w:tabs>
        <w:ind w:left="567" w:hanging="34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4889"/>
    <w:rsid w:val="00000CE2"/>
    <w:rsid w:val="00013E69"/>
    <w:rsid w:val="00016A71"/>
    <w:rsid w:val="00095838"/>
    <w:rsid w:val="000B1057"/>
    <w:rsid w:val="000F25D0"/>
    <w:rsid w:val="00150260"/>
    <w:rsid w:val="001719C7"/>
    <w:rsid w:val="001A09E9"/>
    <w:rsid w:val="001B4016"/>
    <w:rsid w:val="001F494C"/>
    <w:rsid w:val="001F5B6B"/>
    <w:rsid w:val="002076DB"/>
    <w:rsid w:val="0024026E"/>
    <w:rsid w:val="002E367A"/>
    <w:rsid w:val="00356545"/>
    <w:rsid w:val="003D3B14"/>
    <w:rsid w:val="003D5C4C"/>
    <w:rsid w:val="003F52CE"/>
    <w:rsid w:val="00404C35"/>
    <w:rsid w:val="004128E0"/>
    <w:rsid w:val="00450641"/>
    <w:rsid w:val="004C02C4"/>
    <w:rsid w:val="004D2621"/>
    <w:rsid w:val="004E4C1E"/>
    <w:rsid w:val="004F397A"/>
    <w:rsid w:val="00534889"/>
    <w:rsid w:val="0059148F"/>
    <w:rsid w:val="005D3482"/>
    <w:rsid w:val="005F5B66"/>
    <w:rsid w:val="00613F47"/>
    <w:rsid w:val="006459EE"/>
    <w:rsid w:val="00646D2D"/>
    <w:rsid w:val="0068353C"/>
    <w:rsid w:val="006F6EE6"/>
    <w:rsid w:val="007929C6"/>
    <w:rsid w:val="007C1CD3"/>
    <w:rsid w:val="007C716A"/>
    <w:rsid w:val="007D0D9E"/>
    <w:rsid w:val="0081312F"/>
    <w:rsid w:val="0081581F"/>
    <w:rsid w:val="00823898"/>
    <w:rsid w:val="008840EE"/>
    <w:rsid w:val="008C6492"/>
    <w:rsid w:val="00917EDD"/>
    <w:rsid w:val="00950542"/>
    <w:rsid w:val="00996C3B"/>
    <w:rsid w:val="009E492F"/>
    <w:rsid w:val="009E6068"/>
    <w:rsid w:val="00AA26D2"/>
    <w:rsid w:val="00AE4561"/>
    <w:rsid w:val="00B1096C"/>
    <w:rsid w:val="00B860CA"/>
    <w:rsid w:val="00B947F5"/>
    <w:rsid w:val="00BE47A7"/>
    <w:rsid w:val="00CD30DF"/>
    <w:rsid w:val="00CD5661"/>
    <w:rsid w:val="00D427E8"/>
    <w:rsid w:val="00DC43EF"/>
    <w:rsid w:val="00DD63E3"/>
    <w:rsid w:val="00DE4F1D"/>
    <w:rsid w:val="00E55576"/>
    <w:rsid w:val="00F2506C"/>
    <w:rsid w:val="00F40F35"/>
    <w:rsid w:val="00FB2C4B"/>
    <w:rsid w:val="00FC0304"/>
    <w:rsid w:val="00FD6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5D7"/>
  <w15:chartTrackingRefBased/>
  <w15:docId w15:val="{7ADCBE2F-293F-4F1A-9714-8FDE93FD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661"/>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CD5661"/>
    <w:rPr>
      <w:rFonts w:ascii="Times New Roman" w:eastAsia="Times New Roman" w:hAnsi="Times New Roman" w:cs="Times New Roman"/>
      <w:color w:val="0000FF"/>
      <w:u w:val="single"/>
    </w:rPr>
  </w:style>
  <w:style w:type="character" w:styleId="Strong">
    <w:name w:val="Strong"/>
    <w:basedOn w:val="DefaultParagraphFont"/>
    <w:uiPriority w:val="22"/>
    <w:qFormat/>
    <w:rsid w:val="0068353C"/>
    <w:rPr>
      <w:b/>
      <w:bCs/>
    </w:rPr>
  </w:style>
  <w:style w:type="character" w:styleId="Emphasis">
    <w:name w:val="Emphasis"/>
    <w:basedOn w:val="DefaultParagraphFont"/>
    <w:uiPriority w:val="20"/>
    <w:qFormat/>
    <w:rsid w:val="0068353C"/>
    <w:rPr>
      <w:i/>
      <w:iCs/>
    </w:rPr>
  </w:style>
  <w:style w:type="paragraph" w:styleId="ListParagraph">
    <w:name w:val="List Paragraph"/>
    <w:basedOn w:val="Normal"/>
    <w:uiPriority w:val="34"/>
    <w:qFormat/>
    <w:rsid w:val="004E4C1E"/>
    <w:pPr>
      <w:ind w:left="720"/>
      <w:contextualSpacing/>
    </w:pPr>
  </w:style>
  <w:style w:type="character" w:customStyle="1" w:styleId="BodyTextChar">
    <w:name w:val="Body Text Char"/>
    <w:basedOn w:val="DefaultParagraphFont"/>
    <w:link w:val="BodyText"/>
    <w:rsid w:val="00E55576"/>
    <w:rPr>
      <w:rFonts w:eastAsia="Times New Roman" w:cs="Times New Roman"/>
      <w:sz w:val="26"/>
      <w:szCs w:val="26"/>
      <w:shd w:val="clear" w:color="auto" w:fill="FFFFFF"/>
    </w:rPr>
  </w:style>
  <w:style w:type="paragraph" w:styleId="BodyText">
    <w:name w:val="Body Text"/>
    <w:basedOn w:val="Normal"/>
    <w:link w:val="BodyTextChar"/>
    <w:qFormat/>
    <w:rsid w:val="00E55576"/>
    <w:pPr>
      <w:widowControl w:val="0"/>
      <w:shd w:val="clear" w:color="auto" w:fill="FFFFFF"/>
      <w:spacing w:after="100" w:line="30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E5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3752">
      <w:bodyDiv w:val="1"/>
      <w:marLeft w:val="0"/>
      <w:marRight w:val="0"/>
      <w:marTop w:val="0"/>
      <w:marBottom w:val="0"/>
      <w:divBdr>
        <w:top w:val="none" w:sz="0" w:space="0" w:color="auto"/>
        <w:left w:val="none" w:sz="0" w:space="0" w:color="auto"/>
        <w:bottom w:val="none" w:sz="0" w:space="0" w:color="auto"/>
        <w:right w:val="none" w:sz="0" w:space="0" w:color="auto"/>
      </w:divBdr>
    </w:div>
    <w:div w:id="1144815295">
      <w:bodyDiv w:val="1"/>
      <w:marLeft w:val="0"/>
      <w:marRight w:val="0"/>
      <w:marTop w:val="0"/>
      <w:marBottom w:val="0"/>
      <w:divBdr>
        <w:top w:val="none" w:sz="0" w:space="0" w:color="auto"/>
        <w:left w:val="none" w:sz="0" w:space="0" w:color="auto"/>
        <w:bottom w:val="none" w:sz="0" w:space="0" w:color="auto"/>
        <w:right w:val="none" w:sz="0" w:space="0" w:color="auto"/>
      </w:divBdr>
    </w:div>
    <w:div w:id="1675720283">
      <w:bodyDiv w:val="1"/>
      <w:marLeft w:val="0"/>
      <w:marRight w:val="0"/>
      <w:marTop w:val="0"/>
      <w:marBottom w:val="0"/>
      <w:divBdr>
        <w:top w:val="none" w:sz="0" w:space="0" w:color="auto"/>
        <w:left w:val="none" w:sz="0" w:space="0" w:color="auto"/>
        <w:bottom w:val="none" w:sz="0" w:space="0" w:color="auto"/>
        <w:right w:val="none" w:sz="0" w:space="0" w:color="auto"/>
      </w:divBdr>
    </w:div>
    <w:div w:id="19353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8B0FA-CCBA-4D15-B7EA-FE10A485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A1B-37B4-467D-9B32-C1255771BC8D}">
  <ds:schemaRefs>
    <ds:schemaRef ds:uri="http://schemas.microsoft.com/sharepoint/v3/contenttype/forms"/>
  </ds:schemaRefs>
</ds:datastoreItem>
</file>

<file path=customXml/itemProps3.xml><?xml version="1.0" encoding="utf-8"?>
<ds:datastoreItem xmlns:ds="http://schemas.openxmlformats.org/officeDocument/2006/customXml" ds:itemID="{2E68213A-FAAF-4ACC-8D4D-5235BA427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17</cp:revision>
  <dcterms:created xsi:type="dcterms:W3CDTF">2022-02-17T10:48:00Z</dcterms:created>
  <dcterms:modified xsi:type="dcterms:W3CDTF">2022-02-18T07:39:00Z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